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MÊS Maio/2019</w:t>
      </w:r>
    </w:p>
    <w:p w:rsidR="00FA3C71" w:rsidRPr="00FA3C71" w:rsidRDefault="00FA3C71" w:rsidP="00FA3C71">
      <w:pPr>
        <w:pStyle w:val="NormalWeb"/>
        <w:jc w:val="center"/>
        <w:rPr>
          <w:rFonts w:ascii="Arial" w:hAnsi="Arial" w:cs="Arial"/>
          <w:sz w:val="22"/>
          <w:szCs w:val="22"/>
        </w:rPr>
      </w:pPr>
      <w:r w:rsidRPr="00FA3C71">
        <w:rPr>
          <w:rFonts w:ascii="Arial" w:hAnsi="Arial" w:cs="Arial"/>
          <w:sz w:val="22"/>
          <w:szCs w:val="22"/>
        </w:rPr>
        <w:t>Endereço: Rodovia dos Imigrantes, KM 11,5 – casa 19</w:t>
      </w:r>
    </w:p>
    <w:p w:rsidR="00FA3C71" w:rsidRPr="00FA3C71" w:rsidRDefault="00FA3C71" w:rsidP="00FA3C71">
      <w:pPr>
        <w:pStyle w:val="NormalWeb"/>
        <w:jc w:val="center"/>
        <w:rPr>
          <w:rFonts w:ascii="Arial" w:hAnsi="Arial" w:cs="Arial"/>
          <w:sz w:val="22"/>
          <w:szCs w:val="22"/>
        </w:rPr>
      </w:pPr>
      <w:r w:rsidRPr="00FA3C71">
        <w:rPr>
          <w:rFonts w:ascii="Arial" w:hAnsi="Arial" w:cs="Arial"/>
          <w:sz w:val="22"/>
          <w:szCs w:val="22"/>
        </w:rPr>
        <w:t>Bairro: Vila Guarani – Jabaquara</w:t>
      </w:r>
    </w:p>
    <w:p w:rsidR="00FA3C71" w:rsidRPr="00FA3C71" w:rsidRDefault="00FA3C71" w:rsidP="00FA3C71">
      <w:pPr>
        <w:pStyle w:val="NormalWeb"/>
        <w:jc w:val="center"/>
        <w:rPr>
          <w:rFonts w:ascii="Arial" w:hAnsi="Arial" w:cs="Arial"/>
          <w:sz w:val="22"/>
          <w:szCs w:val="22"/>
        </w:rPr>
      </w:pPr>
      <w:r w:rsidRPr="00FA3C71">
        <w:rPr>
          <w:rFonts w:ascii="Arial" w:hAnsi="Arial" w:cs="Arial"/>
          <w:sz w:val="22"/>
          <w:szCs w:val="22"/>
        </w:rPr>
        <w:t>Localidade: São Paulo/SP CEP: 04329 – 000</w:t>
      </w:r>
    </w:p>
    <w:p w:rsidR="00FA3C71" w:rsidRPr="00FA3C71" w:rsidRDefault="00FA3C71" w:rsidP="00FA3C71">
      <w:pPr>
        <w:pStyle w:val="NormalWeb"/>
        <w:jc w:val="center"/>
        <w:rPr>
          <w:rFonts w:ascii="Arial" w:hAnsi="Arial" w:cs="Arial"/>
          <w:sz w:val="22"/>
          <w:szCs w:val="22"/>
        </w:rPr>
      </w:pPr>
      <w:r w:rsidRPr="00FA3C71">
        <w:rPr>
          <w:rFonts w:ascii="Arial" w:hAnsi="Arial" w:cs="Arial"/>
          <w:sz w:val="22"/>
          <w:szCs w:val="22"/>
        </w:rPr>
        <w:t>Telefone: (11) 5021–6624/ 5021-5188</w:t>
      </w:r>
    </w:p>
    <w:p w:rsidR="00FA3C71" w:rsidRPr="00FA3C71" w:rsidRDefault="00FA3C71" w:rsidP="00FA3C71">
      <w:pPr>
        <w:pStyle w:val="NormalWeb"/>
        <w:jc w:val="center"/>
        <w:rPr>
          <w:rFonts w:ascii="Arial" w:hAnsi="Arial" w:cs="Arial"/>
          <w:sz w:val="22"/>
          <w:szCs w:val="22"/>
        </w:rPr>
      </w:pPr>
      <w:r w:rsidRPr="00FA3C71">
        <w:rPr>
          <w:rFonts w:ascii="Arial" w:hAnsi="Arial" w:cs="Arial"/>
          <w:sz w:val="22"/>
          <w:szCs w:val="22"/>
        </w:rPr>
        <w:t>Diretor: Carlos Eduardo do Nascimento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46053D">
      <w:pPr>
        <w:suppressAutoHyphens/>
        <w:spacing w:after="0" w:line="24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p>
    <w:p w:rsidR="00C11031" w:rsidRDefault="00C11031"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p>
    <w:p w:rsidR="0046053D" w:rsidRPr="0046053D" w:rsidRDefault="0046053D"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t>CARTEIRA DE IDENTIDADE (RG)  – IIRGD</w:t>
      </w:r>
    </w:p>
    <w:p w:rsidR="0046053D" w:rsidRPr="0046053D" w:rsidRDefault="0046053D" w:rsidP="0046053D">
      <w:pPr>
        <w:tabs>
          <w:tab w:val="left" w:pos="0"/>
        </w:tabs>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Somente para </w:t>
      </w:r>
      <w:proofErr w:type="spellStart"/>
      <w:r w:rsidRPr="0046053D">
        <w:rPr>
          <w:rFonts w:ascii="Arial" w:eastAsia="Times New Roman" w:hAnsi="Arial" w:cs="Arial"/>
          <w:kern w:val="1"/>
          <w:sz w:val="24"/>
          <w:szCs w:val="24"/>
          <w:lang w:eastAsia="ar-SA"/>
        </w:rPr>
        <w:t>RGs</w:t>
      </w:r>
      <w:proofErr w:type="spellEnd"/>
      <w:r w:rsidRPr="0046053D">
        <w:rPr>
          <w:rFonts w:ascii="Arial" w:eastAsia="Times New Roman" w:hAnsi="Arial" w:cs="Arial"/>
          <w:kern w:val="1"/>
          <w:sz w:val="24"/>
          <w:szCs w:val="24"/>
          <w:lang w:eastAsia="ar-SA"/>
        </w:rPr>
        <w:t xml:space="preserve"> emitidos no estado de São Paulo.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JUSTIÇA</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DEFENSORIA PÚBLICA ESTADUAL</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C11031" w:rsidRDefault="00C11031" w:rsidP="0046053D">
      <w:pPr>
        <w:spacing w:after="0" w:line="276" w:lineRule="auto"/>
        <w:jc w:val="both"/>
        <w:rPr>
          <w:rFonts w:ascii="Arial" w:eastAsia="Times New Roman" w:hAnsi="Arial" w:cs="Arial"/>
          <w:b/>
          <w:bCs/>
          <w:kern w:val="1"/>
          <w:sz w:val="24"/>
          <w:szCs w:val="24"/>
          <w:lang w:eastAsia="ar-SA"/>
        </w:rPr>
      </w:pP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PROCON</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46053D">
      <w:pPr>
        <w:spacing w:after="0" w:line="276"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p>
    <w:p w:rsidR="00C11031" w:rsidRDefault="00C11031" w:rsidP="0046053D">
      <w:pPr>
        <w:spacing w:after="0" w:line="276" w:lineRule="auto"/>
        <w:jc w:val="both"/>
        <w:rPr>
          <w:rFonts w:ascii="Arial" w:eastAsia="Times New Roman" w:hAnsi="Arial" w:cs="Arial"/>
          <w:b/>
          <w:bCs/>
          <w:kern w:val="1"/>
          <w:sz w:val="24"/>
          <w:szCs w:val="24"/>
          <w:lang w:eastAsia="ar-SA"/>
        </w:rPr>
      </w:pP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 xml:space="preserve">Impressão de CPF: </w:t>
      </w:r>
      <w:r w:rsidRPr="0046053D">
        <w:rPr>
          <w:rFonts w:ascii="Arial" w:eastAsia="Times New Roman" w:hAnsi="Arial" w:cs="Arial"/>
          <w:color w:val="000000"/>
          <w:kern w:val="1"/>
          <w:sz w:val="24"/>
          <w:szCs w:val="24"/>
          <w:lang w:eastAsia="ar-SA"/>
        </w:rPr>
        <w:t>Necessário número do CPF e nº do título de eleitor (maior de 18 anos)</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Impressão de 2ª via de contas – SABESP E ENEL</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lastRenderedPageBreak/>
        <w:t>Necessária a apresentação do RG e CPF, bem como de conta recente.</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46053D">
      <w:pPr>
        <w:suppressAutoHyphens/>
        <w:spacing w:after="0" w:line="276"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Pr="00FA3C71" w:rsidRDefault="0046053D" w:rsidP="00FA3C71">
      <w:pPr>
        <w:suppressAutoHyphens/>
        <w:spacing w:after="0" w:line="276" w:lineRule="auto"/>
        <w:jc w:val="center"/>
        <w:rPr>
          <w:rFonts w:ascii="Arial" w:eastAsia="Times New Roman" w:hAnsi="Arial" w:cs="Arial"/>
          <w:b/>
          <w:color w:val="FF0000"/>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color w:val="FF0000"/>
          <w:kern w:val="1"/>
          <w:sz w:val="24"/>
          <w:szCs w:val="24"/>
          <w:u w:val="single"/>
          <w:lang w:eastAsia="ar-SA"/>
        </w:rPr>
      </w:pPr>
      <w:r w:rsidRPr="00FA3C71">
        <w:rPr>
          <w:rFonts w:ascii="Arial" w:eastAsia="Times New Roman" w:hAnsi="Arial" w:cs="Arial"/>
          <w:b/>
          <w:color w:val="FF0000"/>
          <w:kern w:val="1"/>
          <w:sz w:val="24"/>
          <w:szCs w:val="24"/>
          <w:u w:val="single"/>
          <w:lang w:eastAsia="ar-SA"/>
        </w:rPr>
        <w:t>EVENTOS</w:t>
      </w: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bookmarkStart w:id="0" w:name="_GoBack"/>
      <w:bookmarkEnd w:id="0"/>
    </w:p>
    <w:p w:rsid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JORNADA DA CIDADANIA – CIC MÓVEL</w:t>
      </w: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Data:</w:t>
      </w:r>
      <w:r w:rsidRPr="0046053D">
        <w:rPr>
          <w:rFonts w:ascii="Arial" w:eastAsia="Times New Roman" w:hAnsi="Arial" w:cs="Arial"/>
          <w:b/>
          <w:kern w:val="1"/>
          <w:sz w:val="24"/>
          <w:szCs w:val="24"/>
          <w:lang w:eastAsia="ar-SA"/>
        </w:rPr>
        <w:t xml:space="preserve"> </w:t>
      </w:r>
      <w:r w:rsidRPr="0046053D">
        <w:rPr>
          <w:rFonts w:ascii="Arial" w:eastAsia="Times New Roman" w:hAnsi="Arial" w:cs="Arial"/>
          <w:kern w:val="1"/>
          <w:sz w:val="24"/>
          <w:szCs w:val="24"/>
          <w:lang w:eastAsia="ar-SA"/>
        </w:rPr>
        <w:t>18 de maio</w:t>
      </w:r>
      <w:r w:rsidRPr="0046053D">
        <w:rPr>
          <w:rFonts w:ascii="Arial" w:eastAsia="Times New Roman" w:hAnsi="Arial" w:cs="Arial"/>
          <w:b/>
          <w:kern w:val="1"/>
          <w:sz w:val="24"/>
          <w:szCs w:val="24"/>
          <w:lang w:eastAsia="ar-SA"/>
        </w:rPr>
        <w:t xml:space="preserve"> </w:t>
      </w:r>
    </w:p>
    <w:p w:rsidR="0046053D" w:rsidRDefault="0046053D" w:rsidP="0046053D">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Horário: </w:t>
      </w:r>
      <w:r w:rsidRPr="0046053D">
        <w:rPr>
          <w:rFonts w:ascii="Arial" w:eastAsia="Times New Roman" w:hAnsi="Arial" w:cs="Arial"/>
          <w:kern w:val="1"/>
          <w:sz w:val="24"/>
          <w:szCs w:val="24"/>
          <w:lang w:eastAsia="ar-SA"/>
        </w:rPr>
        <w:t>10h às 16h</w:t>
      </w:r>
    </w:p>
    <w:p w:rsidR="0046053D" w:rsidRDefault="0046053D" w:rsidP="0046053D">
      <w:pPr>
        <w:suppressAutoHyphens/>
        <w:spacing w:after="0" w:line="276" w:lineRule="auto"/>
        <w:jc w:val="both"/>
        <w:rPr>
          <w:rFonts w:ascii="Arial" w:eastAsia="Times New Roman" w:hAnsi="Arial" w:cs="Arial"/>
          <w:b/>
          <w:kern w:val="1"/>
          <w:sz w:val="24"/>
          <w:szCs w:val="24"/>
          <w:shd w:val="clear" w:color="auto" w:fill="FFFFFF"/>
          <w:lang w:eastAsia="ar-SA"/>
        </w:rPr>
      </w:pPr>
      <w:r w:rsidRPr="0046053D">
        <w:rPr>
          <w:rFonts w:ascii="Arial" w:eastAsia="Times New Roman" w:hAnsi="Arial" w:cs="Arial"/>
          <w:b/>
          <w:kern w:val="1"/>
          <w:sz w:val="24"/>
          <w:szCs w:val="24"/>
          <w:lang w:eastAsia="ar-SA"/>
        </w:rPr>
        <w:t xml:space="preserve">Local: </w:t>
      </w:r>
      <w:proofErr w:type="spellStart"/>
      <w:r w:rsidRPr="0046053D">
        <w:rPr>
          <w:rFonts w:ascii="Arial" w:eastAsia="Times New Roman" w:hAnsi="Arial" w:cs="Arial"/>
          <w:bCs/>
          <w:kern w:val="1"/>
          <w:sz w:val="24"/>
          <w:szCs w:val="24"/>
          <w:shd w:val="clear" w:color="auto" w:fill="FFFFFF"/>
          <w:lang w:eastAsia="ar-SA"/>
        </w:rPr>
        <w:t>Etec</w:t>
      </w:r>
      <w:proofErr w:type="spellEnd"/>
      <w:r w:rsidRPr="0046053D">
        <w:rPr>
          <w:rFonts w:ascii="Arial" w:eastAsia="Times New Roman" w:hAnsi="Arial" w:cs="Arial"/>
          <w:bCs/>
          <w:kern w:val="1"/>
          <w:sz w:val="24"/>
          <w:szCs w:val="24"/>
          <w:shd w:val="clear" w:color="auto" w:fill="FFFFFF"/>
          <w:lang w:eastAsia="ar-SA"/>
        </w:rPr>
        <w:t xml:space="preserve"> Juscelino Kubitschek</w:t>
      </w:r>
      <w:r w:rsidRPr="0046053D">
        <w:rPr>
          <w:rFonts w:ascii="Arial" w:eastAsia="Times New Roman" w:hAnsi="Arial" w:cs="Arial"/>
          <w:kern w:val="1"/>
          <w:sz w:val="24"/>
          <w:szCs w:val="24"/>
          <w:shd w:val="clear" w:color="auto" w:fill="FFFFFF"/>
          <w:lang w:eastAsia="ar-SA"/>
        </w:rPr>
        <w:t> de Oliveira</w:t>
      </w: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shd w:val="clear" w:color="auto" w:fill="FFFFFF"/>
          <w:lang w:eastAsia="ar-SA"/>
        </w:rPr>
        <w:t xml:space="preserve">Endereço: </w:t>
      </w:r>
      <w:r>
        <w:rPr>
          <w:rFonts w:ascii="Arial" w:eastAsia="Times New Roman" w:hAnsi="Arial" w:cs="Arial"/>
          <w:color w:val="222222"/>
          <w:kern w:val="1"/>
          <w:sz w:val="24"/>
          <w:szCs w:val="24"/>
          <w:shd w:val="clear" w:color="auto" w:fill="FFFFFF"/>
          <w:lang w:eastAsia="ar-SA"/>
        </w:rPr>
        <w:t xml:space="preserve">Rua </w:t>
      </w:r>
      <w:r w:rsidRPr="0046053D">
        <w:rPr>
          <w:rFonts w:ascii="Arial" w:eastAsia="Times New Roman" w:hAnsi="Arial" w:cs="Arial"/>
          <w:color w:val="222222"/>
          <w:kern w:val="1"/>
          <w:sz w:val="24"/>
          <w:szCs w:val="24"/>
          <w:shd w:val="clear" w:color="auto" w:fill="FFFFFF"/>
          <w:lang w:eastAsia="ar-SA"/>
        </w:rPr>
        <w:t>Guarani, 735 - Conceição, Diadema - SP</w:t>
      </w: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Programação: </w:t>
      </w:r>
      <w:r w:rsidRPr="0046053D">
        <w:rPr>
          <w:rFonts w:ascii="Arial" w:eastAsia="Times New Roman" w:hAnsi="Arial" w:cs="Arial"/>
          <w:kern w:val="1"/>
          <w:sz w:val="24"/>
          <w:szCs w:val="24"/>
          <w:lang w:eastAsia="ar-SA"/>
        </w:rPr>
        <w:t xml:space="preserve">Evento de ação social e promoção de </w:t>
      </w:r>
      <w:r w:rsidRPr="0046053D">
        <w:rPr>
          <w:rFonts w:ascii="Arial" w:eastAsia="Times New Roman" w:hAnsi="Arial" w:cs="Arial"/>
          <w:color w:val="000000"/>
          <w:kern w:val="1"/>
          <w:sz w:val="24"/>
          <w:szCs w:val="24"/>
          <w:shd w:val="clear" w:color="auto" w:fill="FFFFFF"/>
          <w:lang w:eastAsia="ar-SA"/>
        </w:rPr>
        <w:t>cidadania em parceria com a ETEC JK. Serviços e atividades gratuitas de saúde, beleza, documentação, cultura e lazer.</w:t>
      </w:r>
    </w:p>
    <w:p w:rsidR="00E17DCB" w:rsidRDefault="00E17DCB"/>
    <w:sectPr w:rsidR="00E17DCB" w:rsidSect="00222F8B">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46053D"/>
    <w:rsid w:val="00C11031"/>
    <w:rsid w:val="00E17DCB"/>
    <w:rsid w:val="00FA3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dcterms:created xsi:type="dcterms:W3CDTF">2019-05-02T20:42:00Z</dcterms:created>
  <dcterms:modified xsi:type="dcterms:W3CDTF">2019-05-02T20:42:00Z</dcterms:modified>
</cp:coreProperties>
</file>